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3F" w:rsidRDefault="00E770FB" w:rsidP="00E770FB">
      <w:pPr>
        <w:pStyle w:val="Heading1"/>
        <w:spacing w:before="0"/>
      </w:pPr>
      <w:bookmarkStart w:id="0" w:name="_GoBack"/>
      <w:bookmarkEnd w:id="0"/>
      <w:r>
        <w:t>Introduction</w:t>
      </w:r>
    </w:p>
    <w:p w:rsidR="00E770FB" w:rsidRDefault="00E770FB" w:rsidP="00E770FB">
      <w:r>
        <w:t>Th</w:t>
      </w:r>
      <w:r w:rsidR="00544CDC">
        <w:t>is paper</w:t>
      </w:r>
      <w:r>
        <w:t xml:space="preserve"> </w:t>
      </w:r>
      <w:r w:rsidR="005A02A9">
        <w:t>outlines three</w:t>
      </w:r>
      <w:r w:rsidR="004C2C2F">
        <w:t xml:space="preserve"> projects </w:t>
      </w:r>
      <w:r w:rsidR="00544CDC">
        <w:t xml:space="preserve">developed by Semta which </w:t>
      </w:r>
      <w:r>
        <w:t xml:space="preserve">support </w:t>
      </w:r>
      <w:r w:rsidR="00017F81">
        <w:t xml:space="preserve">strategic </w:t>
      </w:r>
      <w:r w:rsidR="008230FE">
        <w:t>economic skills delivery</w:t>
      </w:r>
      <w:r w:rsidR="00544CDC">
        <w:t xml:space="preserve">. Semta </w:t>
      </w:r>
      <w:r>
        <w:t xml:space="preserve">believe </w:t>
      </w:r>
      <w:r w:rsidR="00544CDC">
        <w:t xml:space="preserve">these </w:t>
      </w:r>
      <w:r>
        <w:t xml:space="preserve">closely align with the interests of </w:t>
      </w:r>
      <w:r w:rsidRPr="00017F81">
        <w:t xml:space="preserve">the </w:t>
      </w:r>
      <w:r w:rsidR="00544CDC">
        <w:t>Lancashire Provider Network and welcome the opportunity to provide more information at the board meeting in June.</w:t>
      </w:r>
    </w:p>
    <w:p w:rsidR="00E770FB" w:rsidRDefault="004C2C2F" w:rsidP="00E770FB">
      <w:pPr>
        <w:pStyle w:val="Heading2"/>
      </w:pPr>
      <w:r>
        <w:t xml:space="preserve">1. </w:t>
      </w:r>
      <w:r w:rsidR="00E770FB">
        <w:t>The STEM Exchange and STEM Experience</w:t>
      </w:r>
    </w:p>
    <w:p w:rsidR="00E770FB" w:rsidRDefault="00E770FB" w:rsidP="00E770FB">
      <w:r>
        <w:t>Ov</w:t>
      </w:r>
      <w:r w:rsidR="006B6B77">
        <w:t>er the past 18 months Semta has</w:t>
      </w:r>
      <w:r>
        <w:t xml:space="preserve"> been working in conjunction with the Education and Training Foundation </w:t>
      </w:r>
      <w:r w:rsidR="00477D52">
        <w:t xml:space="preserve">(ETF) </w:t>
      </w:r>
      <w:r>
        <w:t>on an umbrella project called “The STEM Alliance”. The overarching aim of this project is to increase the capacity and capability of STEM rel</w:t>
      </w:r>
      <w:r w:rsidR="00056A87">
        <w:t>ated teaching in the further Education</w:t>
      </w:r>
      <w:r>
        <w:t xml:space="preserve"> </w:t>
      </w:r>
      <w:r w:rsidR="00056A87">
        <w:t xml:space="preserve">(FE) </w:t>
      </w:r>
      <w:r>
        <w:t>sector. As part of this project two digital resources were developed.</w:t>
      </w:r>
    </w:p>
    <w:p w:rsidR="00E770FB" w:rsidRDefault="00E770FB" w:rsidP="00E770FB">
      <w:pPr>
        <w:pStyle w:val="Heading3"/>
      </w:pPr>
      <w:r>
        <w:t>The STEM Exchange</w:t>
      </w:r>
    </w:p>
    <w:p w:rsidR="00056A87" w:rsidRDefault="00056A87" w:rsidP="00056A87">
      <w:r>
        <w:t>The aim of The STEM Exchange is to provide continuous professional development (CPD) opportunit</w:t>
      </w:r>
      <w:r w:rsidR="006B6B77">
        <w:t>ies to the FE sector. Semta has</w:t>
      </w:r>
      <w:r>
        <w:t xml:space="preserve"> pulled together over 1,500 employers large and small across a range of STEM related industries who have agreed to offer learning and development opportunities free of charge to FE tutors, teachers and </w:t>
      </w:r>
      <w:proofErr w:type="spellStart"/>
      <w:r>
        <w:t>assessors.</w:t>
      </w:r>
      <w:r w:rsidR="006B6B77">
        <w:t>The</w:t>
      </w:r>
      <w:proofErr w:type="spellEnd"/>
      <w:r w:rsidR="006B6B77">
        <w:t xml:space="preserve"> system allows</w:t>
      </w:r>
      <w:r>
        <w:t xml:space="preserve"> the education provider to search for opportunities local to them by sector,</w:t>
      </w:r>
      <w:r w:rsidR="00477D52">
        <w:t xml:space="preserve"> geography and upcoming events.</w:t>
      </w:r>
    </w:p>
    <w:p w:rsidR="00477D52" w:rsidRDefault="00477D52" w:rsidP="00477D52">
      <w:pPr>
        <w:pStyle w:val="Heading3"/>
      </w:pPr>
      <w:r>
        <w:t>The STEM Experience</w:t>
      </w:r>
    </w:p>
    <w:p w:rsidR="00477D52" w:rsidRPr="00477D52" w:rsidRDefault="00477D52" w:rsidP="00477D52">
      <w:r>
        <w:t>Off the back of The STEM Exchange, The STEM Experience was a natural extension. Many of the employers who agreed to provide CPD opportunities also offered work experience placements to local schools and those on employability programmes. The STEM Exper</w:t>
      </w:r>
      <w:r w:rsidR="006B6B77">
        <w:t xml:space="preserve">ience provides a portal for </w:t>
      </w:r>
      <w:r>
        <w:t>employers to</w:t>
      </w:r>
      <w:r w:rsidR="006B6B77">
        <w:t xml:space="preserve"> more widely publicise the</w:t>
      </w:r>
      <w:r>
        <w:t xml:space="preserve"> opportunities and support they offer.</w:t>
      </w:r>
    </w:p>
    <w:p w:rsidR="00477D52" w:rsidRDefault="00477D52" w:rsidP="00477D52">
      <w:pPr>
        <w:pStyle w:val="Heading3"/>
      </w:pPr>
      <w:r>
        <w:t>Benefits</w:t>
      </w:r>
    </w:p>
    <w:p w:rsidR="006E58AB" w:rsidRDefault="006E58AB" w:rsidP="006E58AB">
      <w:pPr>
        <w:pStyle w:val="ListParagraph"/>
        <w:numPr>
          <w:ilvl w:val="0"/>
          <w:numId w:val="1"/>
        </w:numPr>
      </w:pPr>
      <w:r>
        <w:t>Provide data on employers registered with the region</w:t>
      </w:r>
    </w:p>
    <w:p w:rsidR="006E58AB" w:rsidRDefault="006E58AB" w:rsidP="006E58AB">
      <w:pPr>
        <w:pStyle w:val="ListParagraph"/>
        <w:numPr>
          <w:ilvl w:val="0"/>
          <w:numId w:val="1"/>
        </w:numPr>
      </w:pPr>
      <w:r>
        <w:t>Opportunities undertaken</w:t>
      </w:r>
    </w:p>
    <w:p w:rsidR="006E58AB" w:rsidRDefault="006E58AB" w:rsidP="006E58AB">
      <w:pPr>
        <w:pStyle w:val="ListParagraph"/>
        <w:numPr>
          <w:ilvl w:val="0"/>
          <w:numId w:val="1"/>
        </w:numPr>
      </w:pPr>
      <w:r>
        <w:t>New registrations to the site</w:t>
      </w:r>
    </w:p>
    <w:p w:rsidR="006E58AB" w:rsidRDefault="006E58AB" w:rsidP="006E58AB">
      <w:pPr>
        <w:pStyle w:val="ListParagraph"/>
        <w:numPr>
          <w:ilvl w:val="0"/>
          <w:numId w:val="1"/>
        </w:numPr>
      </w:pPr>
      <w:r>
        <w:t>Branding of the site and related communications indicating the support of the</w:t>
      </w:r>
      <w:r w:rsidR="00544CDC">
        <w:t xml:space="preserve"> network</w:t>
      </w:r>
    </w:p>
    <w:p w:rsidR="006B6B77" w:rsidRDefault="006B6B77" w:rsidP="006E58AB">
      <w:pPr>
        <w:pStyle w:val="ListParagraph"/>
        <w:numPr>
          <w:ilvl w:val="0"/>
          <w:numId w:val="1"/>
        </w:numPr>
      </w:pPr>
      <w:r>
        <w:t>Provides engagement opportunities for both large and small businesses</w:t>
      </w:r>
    </w:p>
    <w:p w:rsidR="006B6B77" w:rsidRDefault="006B6B77" w:rsidP="006E58AB">
      <w:pPr>
        <w:pStyle w:val="ListParagraph"/>
        <w:numPr>
          <w:ilvl w:val="0"/>
          <w:numId w:val="1"/>
        </w:numPr>
      </w:pPr>
      <w:r>
        <w:t>Encourage schools and colleges to promote STEM careers and opportunities</w:t>
      </w:r>
    </w:p>
    <w:p w:rsidR="006B6B77" w:rsidRDefault="006B6B77" w:rsidP="006E58AB">
      <w:pPr>
        <w:pStyle w:val="ListParagraph"/>
        <w:numPr>
          <w:ilvl w:val="0"/>
          <w:numId w:val="1"/>
        </w:numPr>
      </w:pPr>
      <w:r>
        <w:t>Provides quality assured resources to providers</w:t>
      </w:r>
    </w:p>
    <w:p w:rsidR="006B6B77" w:rsidRPr="006E58AB" w:rsidRDefault="006B6B77" w:rsidP="006E58AB">
      <w:pPr>
        <w:pStyle w:val="ListParagraph"/>
        <w:numPr>
          <w:ilvl w:val="0"/>
          <w:numId w:val="1"/>
        </w:numPr>
      </w:pPr>
      <w:r>
        <w:t xml:space="preserve">The technology could be replicated for other sectors </w:t>
      </w:r>
    </w:p>
    <w:p w:rsidR="00544CDC" w:rsidRPr="004C2C2F" w:rsidRDefault="004C2C2F" w:rsidP="00544CDC">
      <w:pPr>
        <w:pStyle w:val="Heading2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="00544CDC" w:rsidRPr="004C2C2F">
        <w:rPr>
          <w:rFonts w:ascii="Cambria" w:hAnsi="Cambria"/>
        </w:rPr>
        <w:t>Apprenticeship Vacancy Generation and Matching Service / Clearing House</w:t>
      </w:r>
    </w:p>
    <w:p w:rsidR="00544CDC" w:rsidRPr="00BF3860" w:rsidRDefault="00544CDC" w:rsidP="00544CDC">
      <w:r w:rsidRPr="00BF3860">
        <w:t xml:space="preserve">As the overarching programme management body and contract holder for the Automotive Industrial Partnership, Semta has worked in conjunction with </w:t>
      </w:r>
      <w:hyperlink r:id="rId8" w:history="1">
        <w:r w:rsidRPr="00BF3860">
          <w:rPr>
            <w:rStyle w:val="Hyperlink"/>
          </w:rPr>
          <w:t>www.getmyfirstjob.co.uk</w:t>
        </w:r>
      </w:hyperlink>
      <w:r w:rsidRPr="00BF3860">
        <w:t xml:space="preserve"> (GMFJ)</w:t>
      </w:r>
      <w:r>
        <w:t xml:space="preserve"> </w:t>
      </w:r>
      <w:r w:rsidRPr="00BF3860">
        <w:t>on the development of an Automotive Industrial Clearing House.</w:t>
      </w:r>
    </w:p>
    <w:p w:rsidR="00544CDC" w:rsidRPr="00BF3860" w:rsidRDefault="00544CDC" w:rsidP="00544CDC">
      <w:r w:rsidRPr="00BF3860">
        <w:t>The aim of the clearing house is to:</w:t>
      </w:r>
    </w:p>
    <w:p w:rsidR="00544CDC" w:rsidRPr="00BF3860" w:rsidRDefault="00544CDC" w:rsidP="00544CDC">
      <w:pPr>
        <w:pStyle w:val="ListParagraph"/>
        <w:numPr>
          <w:ilvl w:val="0"/>
          <w:numId w:val="3"/>
        </w:numPr>
      </w:pPr>
      <w:r w:rsidRPr="00BF3860">
        <w:t xml:space="preserve">Generate more higher level apprenticeship vacancies </w:t>
      </w:r>
    </w:p>
    <w:p w:rsidR="00544CDC" w:rsidRPr="00BF3860" w:rsidRDefault="00544CDC" w:rsidP="00544CDC">
      <w:pPr>
        <w:pStyle w:val="ListParagraph"/>
        <w:numPr>
          <w:ilvl w:val="0"/>
          <w:numId w:val="3"/>
        </w:numPr>
      </w:pPr>
      <w:r w:rsidRPr="00BF3860">
        <w:t>Use the over-subscribed Original Engineering Manufacturer apprenticeship programmes to fill vacancies in the supply chain businesses</w:t>
      </w:r>
    </w:p>
    <w:p w:rsidR="00544CDC" w:rsidRPr="00BF3860" w:rsidRDefault="00544CDC" w:rsidP="00544CDC">
      <w:r w:rsidRPr="00BF3860">
        <w:t xml:space="preserve">This approach is also being actively considered by both aerospace and construction industries. However the knock </w:t>
      </w:r>
      <w:r>
        <w:t xml:space="preserve">on </w:t>
      </w:r>
      <w:r w:rsidRPr="00BF3860">
        <w:t xml:space="preserve">benefits of this partnership reach far more widely than these specific sectors. Through their unique approach to proactive vacancy matching </w:t>
      </w:r>
      <w:hyperlink r:id="rId9" w:history="1">
        <w:r w:rsidRPr="00BF3860">
          <w:rPr>
            <w:rStyle w:val="Hyperlink"/>
          </w:rPr>
          <w:t>www.getmyfirstjob.co.uk</w:t>
        </w:r>
      </w:hyperlink>
      <w:r w:rsidRPr="00BF3860">
        <w:t xml:space="preserve"> have filled over 15,000 vacancies in the past 12 months and have over 220,000 young people registered their platform.</w:t>
      </w:r>
    </w:p>
    <w:p w:rsidR="00544CDC" w:rsidRPr="004C2C2F" w:rsidRDefault="00544CDC" w:rsidP="004C2C2F">
      <w:pPr>
        <w:spacing w:after="0" w:line="240" w:lineRule="auto"/>
        <w:rPr>
          <w:rFonts w:ascii="Cambria" w:hAnsi="Cambria"/>
          <w:b/>
          <w:color w:val="4F81BD" w:themeColor="accent1"/>
        </w:rPr>
      </w:pPr>
      <w:r w:rsidRPr="004C2C2F">
        <w:rPr>
          <w:rFonts w:ascii="Cambria" w:hAnsi="Cambria"/>
          <w:b/>
          <w:color w:val="4F81BD" w:themeColor="accent1"/>
        </w:rPr>
        <w:lastRenderedPageBreak/>
        <w:t>Benefits</w:t>
      </w:r>
    </w:p>
    <w:p w:rsidR="00544CDC" w:rsidRPr="00BF3860" w:rsidRDefault="00544CDC" w:rsidP="00544CDC">
      <w:pPr>
        <w:pStyle w:val="ListParagraph"/>
        <w:numPr>
          <w:ilvl w:val="0"/>
          <w:numId w:val="4"/>
        </w:numPr>
      </w:pPr>
      <w:r w:rsidRPr="00BF3860">
        <w:t>The identification of more higher level apprenticeship vacancies in the region</w:t>
      </w:r>
    </w:p>
    <w:p w:rsidR="00544CDC" w:rsidRPr="00BF3860" w:rsidRDefault="00544CDC" w:rsidP="00544CDC">
      <w:pPr>
        <w:pStyle w:val="ListParagraph"/>
        <w:numPr>
          <w:ilvl w:val="0"/>
          <w:numId w:val="4"/>
        </w:numPr>
      </w:pPr>
      <w:r w:rsidRPr="00BF3860">
        <w:t>A guaranteed increase in the conversion rate of vacancies filled for any provider actively using the system</w:t>
      </w:r>
    </w:p>
    <w:p w:rsidR="00544CDC" w:rsidRPr="00BF3860" w:rsidRDefault="00544CDC" w:rsidP="00544CDC">
      <w:pPr>
        <w:pStyle w:val="ListParagraph"/>
        <w:numPr>
          <w:ilvl w:val="0"/>
          <w:numId w:val="4"/>
        </w:numPr>
      </w:pPr>
      <w:r w:rsidRPr="00BF3860">
        <w:t>Insight and data on:</w:t>
      </w:r>
    </w:p>
    <w:p w:rsidR="00544CDC" w:rsidRPr="00BF3860" w:rsidRDefault="00544CDC" w:rsidP="00544CDC">
      <w:pPr>
        <w:pStyle w:val="ListParagraph"/>
        <w:numPr>
          <w:ilvl w:val="1"/>
          <w:numId w:val="4"/>
        </w:numPr>
      </w:pPr>
      <w:r w:rsidRPr="00BF3860">
        <w:t>All vacancies posted on the system within any the region</w:t>
      </w:r>
    </w:p>
    <w:p w:rsidR="00544CDC" w:rsidRPr="00BF3860" w:rsidRDefault="00544CDC" w:rsidP="00544CDC">
      <w:pPr>
        <w:pStyle w:val="ListParagraph"/>
        <w:numPr>
          <w:ilvl w:val="1"/>
          <w:numId w:val="4"/>
        </w:numPr>
      </w:pPr>
      <w:r w:rsidRPr="00BF3860">
        <w:t xml:space="preserve">The industry areas young people are most interested in </w:t>
      </w:r>
    </w:p>
    <w:p w:rsidR="00544CDC" w:rsidRPr="00BF3860" w:rsidRDefault="00544CDC" w:rsidP="00544CDC">
      <w:pPr>
        <w:pStyle w:val="ListParagraph"/>
        <w:numPr>
          <w:ilvl w:val="1"/>
          <w:numId w:val="4"/>
        </w:numPr>
      </w:pPr>
      <w:r w:rsidRPr="00BF3860">
        <w:t>Conversion rates, fill times and destinations</w:t>
      </w:r>
    </w:p>
    <w:p w:rsidR="00544CDC" w:rsidRPr="00BF3860" w:rsidRDefault="00544CDC" w:rsidP="00544CDC">
      <w:pPr>
        <w:pStyle w:val="ListParagraph"/>
        <w:numPr>
          <w:ilvl w:val="1"/>
          <w:numId w:val="4"/>
        </w:numPr>
      </w:pPr>
      <w:r w:rsidRPr="00BF3860">
        <w:t>Careers advisor interactions and impact</w:t>
      </w:r>
    </w:p>
    <w:p w:rsidR="00544CDC" w:rsidRPr="00BF3860" w:rsidRDefault="00544CDC" w:rsidP="00544CDC">
      <w:pPr>
        <w:pStyle w:val="ListParagraph"/>
        <w:numPr>
          <w:ilvl w:val="1"/>
          <w:numId w:val="4"/>
        </w:numPr>
      </w:pPr>
      <w:r w:rsidRPr="00BF3860">
        <w:t>Heat maps of vacancies and applicants</w:t>
      </w:r>
    </w:p>
    <w:p w:rsidR="00544CDC" w:rsidRPr="00BF3860" w:rsidRDefault="00544CDC" w:rsidP="00544CDC">
      <w:pPr>
        <w:pStyle w:val="ListParagraph"/>
        <w:numPr>
          <w:ilvl w:val="1"/>
          <w:numId w:val="4"/>
        </w:numPr>
      </w:pPr>
      <w:r w:rsidRPr="00BF3860">
        <w:t>Tailored data and reporting</w:t>
      </w:r>
    </w:p>
    <w:p w:rsidR="00477D52" w:rsidRDefault="004C2C2F" w:rsidP="00B55821">
      <w:pPr>
        <w:pStyle w:val="Heading2"/>
      </w:pPr>
      <w:r>
        <w:t xml:space="preserve">3. </w:t>
      </w:r>
      <w:r w:rsidR="006E58AB">
        <w:t xml:space="preserve">Training and Organisational </w:t>
      </w:r>
      <w:r w:rsidR="00B55821">
        <w:t>Needs Analysis</w:t>
      </w:r>
    </w:p>
    <w:p w:rsidR="00B55821" w:rsidRDefault="00B55821" w:rsidP="00B55821">
      <w:r>
        <w:t>As part of its role as a Sector Skills Council, Semta had previously been in a position to support the Engineering and Advanced Manufacturing sector by providing a national resource to support employers in developing their ongoing economic stability.</w:t>
      </w:r>
    </w:p>
    <w:p w:rsidR="00B55821" w:rsidRDefault="00B55821" w:rsidP="00B55821">
      <w:r>
        <w:t xml:space="preserve">These included </w:t>
      </w:r>
      <w:r w:rsidR="006B6B77">
        <w:t xml:space="preserve">carrying out </w:t>
      </w:r>
      <w:r>
        <w:t>skills audits, business improvement technique training and advice on funding availability. Following the withdrawal</w:t>
      </w:r>
      <w:r w:rsidR="00BF3860">
        <w:t xml:space="preserve"> of funding from SSCs Semta has</w:t>
      </w:r>
      <w:r>
        <w:t xml:space="preserve"> been unable to provide this dedicated resource, but the needs </w:t>
      </w:r>
      <w:r w:rsidR="00BF3860">
        <w:t xml:space="preserve">of employers and stakeholders </w:t>
      </w:r>
      <w:r>
        <w:t>remain.</w:t>
      </w:r>
    </w:p>
    <w:p w:rsidR="00B55821" w:rsidRDefault="00B55821" w:rsidP="00B55821">
      <w:r>
        <w:t>To meet this demand Semta are investing</w:t>
      </w:r>
      <w:r w:rsidR="00A06107">
        <w:t xml:space="preserve"> circa £2</w:t>
      </w:r>
      <w:r>
        <w:t xml:space="preserve">5k in the development and build of a digital training and organisational needs analysis tool. The aim of the tool is to provide the volume generic advice and guidance </w:t>
      </w:r>
      <w:r w:rsidR="00FD5F61">
        <w:t>requi</w:t>
      </w:r>
      <w:r w:rsidR="00BF3860">
        <w:t>red and to better identify</w:t>
      </w:r>
      <w:r w:rsidR="00FD5F61">
        <w:t xml:space="preserve"> organisations </w:t>
      </w:r>
      <w:proofErr w:type="gramStart"/>
      <w:r w:rsidR="00FD5F61">
        <w:t>who</w:t>
      </w:r>
      <w:proofErr w:type="gramEnd"/>
      <w:r w:rsidR="00FD5F61">
        <w:t xml:space="preserve"> would most benefit from the more limited one-to-one support now available.</w:t>
      </w:r>
    </w:p>
    <w:p w:rsidR="00FD5F61" w:rsidRDefault="00FD5F61" w:rsidP="00B55821">
      <w:r>
        <w:t>The tool</w:t>
      </w:r>
      <w:r w:rsidR="004C2C2F">
        <w:t xml:space="preserve"> will be arranged into a series</w:t>
      </w:r>
      <w:r>
        <w:t xml:space="preserve"> of subject matter areas, such as people, process, equipment etc. each with a number of simple yes no type answers followed by a short narrative section. Completion of each section will provide immediate feedback on the organisations relative position in the subject area</w:t>
      </w:r>
      <w:r w:rsidR="00A00571">
        <w:t>s</w:t>
      </w:r>
      <w:r>
        <w:t xml:space="preserve"> and depending on their relative benchmarking, suggested actions on how they can progress to improve their business, or indeed support in improving others.</w:t>
      </w:r>
    </w:p>
    <w:p w:rsidR="00FD5F61" w:rsidRDefault="00FD5F61" w:rsidP="00FD5F61">
      <w:pPr>
        <w:pStyle w:val="Heading3"/>
      </w:pPr>
      <w:r>
        <w:t>Benefits</w:t>
      </w:r>
    </w:p>
    <w:p w:rsidR="00BF3860" w:rsidRDefault="00BF3860" w:rsidP="00BF3860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BF3860">
        <w:rPr>
          <w:rFonts w:asciiTheme="minorHAnsi" w:hAnsiTheme="minorHAnsi"/>
          <w:bCs/>
          <w:sz w:val="22"/>
          <w:szCs w:val="22"/>
        </w:rPr>
        <w:t>Improve performance and profitability</w:t>
      </w:r>
      <w:r w:rsidRPr="00BF3860">
        <w:rPr>
          <w:rFonts w:asciiTheme="minorHAnsi" w:hAnsiTheme="minorHAnsi"/>
          <w:sz w:val="22"/>
          <w:szCs w:val="22"/>
        </w:rPr>
        <w:t xml:space="preserve"> of local businesses </w:t>
      </w:r>
      <w:r w:rsidR="00BA6205">
        <w:rPr>
          <w:rFonts w:asciiTheme="minorHAnsi" w:hAnsiTheme="minorHAnsi"/>
          <w:sz w:val="22"/>
          <w:szCs w:val="22"/>
        </w:rPr>
        <w:t>(particularly SMEs)</w:t>
      </w:r>
    </w:p>
    <w:p w:rsidR="00BF3860" w:rsidRPr="00BF3860" w:rsidRDefault="00BF3860" w:rsidP="00BF3860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BF3860">
        <w:rPr>
          <w:rFonts w:asciiTheme="minorHAnsi" w:hAnsiTheme="minorHAnsi"/>
          <w:bCs/>
          <w:sz w:val="22"/>
          <w:szCs w:val="22"/>
        </w:rPr>
        <w:t>Improving performance and profitability</w:t>
      </w:r>
      <w:r w:rsidRPr="00BF3860">
        <w:rPr>
          <w:rFonts w:asciiTheme="minorHAnsi" w:hAnsiTheme="minorHAnsi"/>
          <w:sz w:val="22"/>
          <w:szCs w:val="22"/>
        </w:rPr>
        <w:t xml:space="preserve">: Reviewing the personalised business output report will show how a business is performing in relation to competitors and what it can do to elevate </w:t>
      </w:r>
      <w:r w:rsidRPr="00BF3860">
        <w:rPr>
          <w:rFonts w:asciiTheme="minorHAnsi" w:hAnsiTheme="minorHAnsi"/>
          <w:bCs/>
          <w:sz w:val="22"/>
          <w:szCs w:val="22"/>
        </w:rPr>
        <w:t xml:space="preserve">Structured decision making </w:t>
      </w:r>
    </w:p>
    <w:p w:rsidR="00BF3860" w:rsidRPr="00BF3860" w:rsidRDefault="00BF3860" w:rsidP="00BF3860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BF3860">
        <w:rPr>
          <w:rFonts w:asciiTheme="minorHAnsi" w:hAnsiTheme="minorHAnsi"/>
          <w:bCs/>
          <w:sz w:val="22"/>
          <w:szCs w:val="22"/>
        </w:rPr>
        <w:t xml:space="preserve">Achieving business goals: </w:t>
      </w:r>
      <w:r w:rsidRPr="00BF3860">
        <w:rPr>
          <w:rFonts w:asciiTheme="minorHAnsi" w:hAnsiTheme="minorHAnsi"/>
          <w:sz w:val="22"/>
          <w:szCs w:val="22"/>
        </w:rPr>
        <w:t>Measure pr</w:t>
      </w:r>
      <w:r>
        <w:rPr>
          <w:rFonts w:asciiTheme="minorHAnsi" w:hAnsiTheme="minorHAnsi"/>
          <w:sz w:val="22"/>
          <w:szCs w:val="22"/>
        </w:rPr>
        <w:t>ogression towards achieving businesses</w:t>
      </w:r>
      <w:r w:rsidRPr="00BF3860">
        <w:rPr>
          <w:rFonts w:asciiTheme="minorHAnsi" w:hAnsiTheme="minorHAnsi"/>
          <w:sz w:val="22"/>
          <w:szCs w:val="22"/>
        </w:rPr>
        <w:t xml:space="preserve"> aims and aspirations and keep </w:t>
      </w:r>
      <w:r>
        <w:rPr>
          <w:rFonts w:asciiTheme="minorHAnsi" w:hAnsiTheme="minorHAnsi"/>
          <w:sz w:val="22"/>
          <w:szCs w:val="22"/>
        </w:rPr>
        <w:t xml:space="preserve">a business on track </w:t>
      </w:r>
    </w:p>
    <w:p w:rsidR="00BF3860" w:rsidRPr="00BF3860" w:rsidRDefault="00BF3860" w:rsidP="00BF3860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BF3860">
        <w:rPr>
          <w:rFonts w:asciiTheme="minorHAnsi" w:hAnsiTheme="minorHAnsi"/>
          <w:bCs/>
          <w:sz w:val="22"/>
          <w:szCs w:val="22"/>
        </w:rPr>
        <w:t xml:space="preserve">Structured decision making </w:t>
      </w:r>
    </w:p>
    <w:p w:rsidR="00BF3860" w:rsidRDefault="00BF3860" w:rsidP="00BF3860">
      <w:pPr>
        <w:pStyle w:val="Default"/>
        <w:numPr>
          <w:ilvl w:val="0"/>
          <w:numId w:val="2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Signpost businesses to the best providers who can meet their needs</w:t>
      </w:r>
    </w:p>
    <w:p w:rsidR="00BA6205" w:rsidRDefault="00BA6205" w:rsidP="00BF3860">
      <w:pPr>
        <w:pStyle w:val="Default"/>
        <w:numPr>
          <w:ilvl w:val="0"/>
          <w:numId w:val="2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Help shape future skills commissioning for the region</w:t>
      </w:r>
    </w:p>
    <w:p w:rsidR="00BF3860" w:rsidRPr="00BF3860" w:rsidRDefault="00BF3860" w:rsidP="00BF3860">
      <w:pPr>
        <w:pStyle w:val="Default"/>
        <w:numPr>
          <w:ilvl w:val="0"/>
          <w:numId w:val="2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Identify further support/funding available in the region</w:t>
      </w:r>
    </w:p>
    <w:p w:rsidR="004C2C2F" w:rsidRDefault="004C2C2F" w:rsidP="004C2C2F">
      <w:pPr>
        <w:pStyle w:val="Heading3"/>
      </w:pPr>
      <w:r>
        <w:t>Next Steps</w:t>
      </w:r>
    </w:p>
    <w:p w:rsidR="004C2C2F" w:rsidRDefault="004C2C2F" w:rsidP="004C2C2F">
      <w:r w:rsidRPr="006B6B77">
        <w:t xml:space="preserve">Semta would like to work with </w:t>
      </w:r>
      <w:r>
        <w:t>Lancashire</w:t>
      </w:r>
      <w:r w:rsidRPr="006B6B77">
        <w:t xml:space="preserve"> on the further </w:t>
      </w:r>
      <w:r w:rsidR="005A02A9">
        <w:t>development</w:t>
      </w:r>
      <w:r>
        <w:t xml:space="preserve"> and communication of these tools to support employers and </w:t>
      </w:r>
      <w:r w:rsidRPr="006B6B77">
        <w:t>providers</w:t>
      </w:r>
      <w:r>
        <w:t xml:space="preserve"> in the region</w:t>
      </w:r>
      <w:r w:rsidRPr="006B6B77">
        <w:t>.</w:t>
      </w:r>
      <w:r>
        <w:t xml:space="preserve"> </w:t>
      </w:r>
    </w:p>
    <w:p w:rsidR="00400F1E" w:rsidRDefault="00400F1E" w:rsidP="00400F1E"/>
    <w:p w:rsidR="00400F1E" w:rsidRPr="003E47B1" w:rsidRDefault="00400F1E" w:rsidP="003E47B1"/>
    <w:sectPr w:rsidR="00400F1E" w:rsidRPr="003E47B1" w:rsidSect="005A02A9">
      <w:headerReference w:type="default" r:id="rId10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130" w:rsidRDefault="003B7130" w:rsidP="00A02D60">
      <w:pPr>
        <w:spacing w:after="0" w:line="240" w:lineRule="auto"/>
      </w:pPr>
      <w:r>
        <w:separator/>
      </w:r>
    </w:p>
  </w:endnote>
  <w:endnote w:type="continuationSeparator" w:id="0">
    <w:p w:rsidR="003B7130" w:rsidRDefault="003B7130" w:rsidP="00A0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130" w:rsidRDefault="003B7130" w:rsidP="00A02D60">
      <w:pPr>
        <w:spacing w:after="0" w:line="240" w:lineRule="auto"/>
      </w:pPr>
      <w:r>
        <w:separator/>
      </w:r>
    </w:p>
  </w:footnote>
  <w:footnote w:type="continuationSeparator" w:id="0">
    <w:p w:rsidR="003B7130" w:rsidRDefault="003B7130" w:rsidP="00A0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C2F" w:rsidRDefault="004C2C2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A38805E" wp14:editId="14A17C6E">
          <wp:simplePos x="0" y="0"/>
          <wp:positionH relativeFrom="column">
            <wp:posOffset>4667250</wp:posOffset>
          </wp:positionH>
          <wp:positionV relativeFrom="paragraph">
            <wp:posOffset>-344805</wp:posOffset>
          </wp:positionV>
          <wp:extent cx="1860304" cy="666750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ta_RegisteredTradeMark_C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304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4F91"/>
    <w:multiLevelType w:val="hybridMultilevel"/>
    <w:tmpl w:val="6F1601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DD418E"/>
    <w:multiLevelType w:val="hybridMultilevel"/>
    <w:tmpl w:val="6298E4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D81591"/>
    <w:multiLevelType w:val="hybridMultilevel"/>
    <w:tmpl w:val="FA647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193731"/>
    <w:multiLevelType w:val="hybridMultilevel"/>
    <w:tmpl w:val="18609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C8046A"/>
    <w:multiLevelType w:val="hybridMultilevel"/>
    <w:tmpl w:val="E8FCA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FB"/>
    <w:rsid w:val="00017F81"/>
    <w:rsid w:val="00056A87"/>
    <w:rsid w:val="000830B1"/>
    <w:rsid w:val="002B1E3F"/>
    <w:rsid w:val="00303896"/>
    <w:rsid w:val="003B7130"/>
    <w:rsid w:val="003E47B1"/>
    <w:rsid w:val="00400F1E"/>
    <w:rsid w:val="004267CA"/>
    <w:rsid w:val="00477D52"/>
    <w:rsid w:val="00482060"/>
    <w:rsid w:val="004C2C2F"/>
    <w:rsid w:val="00537479"/>
    <w:rsid w:val="00544CDC"/>
    <w:rsid w:val="005A02A9"/>
    <w:rsid w:val="006B6B77"/>
    <w:rsid w:val="006E58AB"/>
    <w:rsid w:val="008230FE"/>
    <w:rsid w:val="0090634B"/>
    <w:rsid w:val="009A3137"/>
    <w:rsid w:val="009C7187"/>
    <w:rsid w:val="00A00571"/>
    <w:rsid w:val="00A02D60"/>
    <w:rsid w:val="00A06107"/>
    <w:rsid w:val="00B55821"/>
    <w:rsid w:val="00B608F8"/>
    <w:rsid w:val="00BA6205"/>
    <w:rsid w:val="00BF3860"/>
    <w:rsid w:val="00CF4704"/>
    <w:rsid w:val="00D766E1"/>
    <w:rsid w:val="00E563AE"/>
    <w:rsid w:val="00E770FB"/>
    <w:rsid w:val="00EC3577"/>
    <w:rsid w:val="00F73640"/>
    <w:rsid w:val="00FD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7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7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7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70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E58AB"/>
    <w:pPr>
      <w:ind w:left="720"/>
      <w:contextualSpacing/>
    </w:pPr>
  </w:style>
  <w:style w:type="table" w:styleId="TableGrid">
    <w:name w:val="Table Grid"/>
    <w:basedOn w:val="TableNormal"/>
    <w:uiPriority w:val="59"/>
    <w:rsid w:val="006E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6E58A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E47B1"/>
    <w:rPr>
      <w:color w:val="0000FF" w:themeColor="hyperlink"/>
      <w:u w:val="single"/>
    </w:rPr>
  </w:style>
  <w:style w:type="paragraph" w:customStyle="1" w:styleId="Default">
    <w:name w:val="Default"/>
    <w:rsid w:val="00BF386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A02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D60"/>
  </w:style>
  <w:style w:type="paragraph" w:styleId="Footer">
    <w:name w:val="footer"/>
    <w:basedOn w:val="Normal"/>
    <w:link w:val="FooterChar"/>
    <w:uiPriority w:val="99"/>
    <w:unhideWhenUsed/>
    <w:rsid w:val="00A02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D60"/>
  </w:style>
  <w:style w:type="paragraph" w:styleId="BalloonText">
    <w:name w:val="Balloon Text"/>
    <w:basedOn w:val="Normal"/>
    <w:link w:val="BalloonTextChar"/>
    <w:uiPriority w:val="99"/>
    <w:semiHidden/>
    <w:unhideWhenUsed/>
    <w:rsid w:val="00A0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7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7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7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70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E58AB"/>
    <w:pPr>
      <w:ind w:left="720"/>
      <w:contextualSpacing/>
    </w:pPr>
  </w:style>
  <w:style w:type="table" w:styleId="TableGrid">
    <w:name w:val="Table Grid"/>
    <w:basedOn w:val="TableNormal"/>
    <w:uiPriority w:val="59"/>
    <w:rsid w:val="006E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6E58A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E47B1"/>
    <w:rPr>
      <w:color w:val="0000FF" w:themeColor="hyperlink"/>
      <w:u w:val="single"/>
    </w:rPr>
  </w:style>
  <w:style w:type="paragraph" w:customStyle="1" w:styleId="Default">
    <w:name w:val="Default"/>
    <w:rsid w:val="00BF386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A02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D60"/>
  </w:style>
  <w:style w:type="paragraph" w:styleId="Footer">
    <w:name w:val="footer"/>
    <w:basedOn w:val="Normal"/>
    <w:link w:val="FooterChar"/>
    <w:uiPriority w:val="99"/>
    <w:unhideWhenUsed/>
    <w:rsid w:val="00A02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D60"/>
  </w:style>
  <w:style w:type="paragraph" w:styleId="BalloonText">
    <w:name w:val="Balloon Text"/>
    <w:basedOn w:val="Normal"/>
    <w:link w:val="BalloonTextChar"/>
    <w:uiPriority w:val="99"/>
    <w:semiHidden/>
    <w:unhideWhenUsed/>
    <w:rsid w:val="00A0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myfirstjob.co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etmyfirstjob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Parkes</dc:creator>
  <cp:lastModifiedBy>Raeleen</cp:lastModifiedBy>
  <cp:revision>2</cp:revision>
  <cp:lastPrinted>2016-01-27T10:09:00Z</cp:lastPrinted>
  <dcterms:created xsi:type="dcterms:W3CDTF">2016-07-09T07:11:00Z</dcterms:created>
  <dcterms:modified xsi:type="dcterms:W3CDTF">2016-07-09T07:11:00Z</dcterms:modified>
</cp:coreProperties>
</file>